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FA87C" w14:textId="3B284A4E" w:rsidR="002014DD" w:rsidRPr="000201CA" w:rsidRDefault="003470C9" w:rsidP="000201CA">
      <w:pPr>
        <w:jc w:val="both"/>
        <w:rPr>
          <w:rFonts w:ascii="Arial" w:hAnsi="Arial" w:cs="Arial"/>
          <w:sz w:val="24"/>
          <w:szCs w:val="24"/>
          <w:lang w:val="es-ES"/>
        </w:rPr>
      </w:pPr>
      <w:r w:rsidRPr="000201CA">
        <w:rPr>
          <w:rFonts w:ascii="Arial" w:hAnsi="Arial" w:cs="Arial"/>
          <w:sz w:val="24"/>
          <w:szCs w:val="24"/>
          <w:lang w:val="es-ES"/>
        </w:rPr>
        <w:t>DPT 2</w:t>
      </w:r>
      <w:r w:rsidR="00D17C99">
        <w:rPr>
          <w:rFonts w:ascii="Arial" w:hAnsi="Arial" w:cs="Arial"/>
          <w:sz w:val="24"/>
          <w:szCs w:val="24"/>
          <w:lang w:val="es-ES"/>
        </w:rPr>
        <w:t>7</w:t>
      </w:r>
      <w:r w:rsidRPr="000201CA">
        <w:rPr>
          <w:rFonts w:ascii="Arial" w:hAnsi="Arial" w:cs="Arial"/>
          <w:sz w:val="24"/>
          <w:szCs w:val="24"/>
          <w:lang w:val="es-ES"/>
        </w:rPr>
        <w:t>.</w:t>
      </w:r>
      <w:r w:rsidR="00D17C99">
        <w:rPr>
          <w:rFonts w:ascii="Arial" w:hAnsi="Arial" w:cs="Arial"/>
          <w:sz w:val="24"/>
          <w:szCs w:val="24"/>
          <w:lang w:val="es-ES"/>
        </w:rPr>
        <w:t>03</w:t>
      </w:r>
      <w:r w:rsidRPr="000201CA">
        <w:rPr>
          <w:rFonts w:ascii="Arial" w:hAnsi="Arial" w:cs="Arial"/>
          <w:sz w:val="24"/>
          <w:szCs w:val="24"/>
          <w:lang w:val="es-ES"/>
        </w:rPr>
        <w:t>.202</w:t>
      </w:r>
      <w:r w:rsidR="00D17C99">
        <w:rPr>
          <w:rFonts w:ascii="Arial" w:hAnsi="Arial" w:cs="Arial"/>
          <w:sz w:val="24"/>
          <w:szCs w:val="24"/>
          <w:lang w:val="es-ES"/>
        </w:rPr>
        <w:t>4</w:t>
      </w:r>
    </w:p>
    <w:p w14:paraId="47EC7D83" w14:textId="77777777" w:rsidR="00345750" w:rsidRDefault="00345750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E36EBB7" w14:textId="50221E2D" w:rsidR="003470C9" w:rsidRPr="00002051" w:rsidRDefault="005B7988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 xml:space="preserve">FALLO I - </w:t>
      </w:r>
      <w:r w:rsidR="00734716" w:rsidRPr="00002051">
        <w:rPr>
          <w:rFonts w:ascii="Arial" w:hAnsi="Arial" w:cs="Arial"/>
          <w:b/>
          <w:bCs/>
          <w:sz w:val="24"/>
          <w:szCs w:val="24"/>
        </w:rPr>
        <w:t xml:space="preserve">IMPUTADO: </w:t>
      </w:r>
      <w:r w:rsidR="00D17C99" w:rsidRPr="00D17C99">
        <w:rPr>
          <w:rFonts w:ascii="Arial" w:hAnsi="Arial" w:cs="Arial"/>
          <w:b/>
          <w:bCs/>
          <w:sz w:val="24"/>
          <w:szCs w:val="24"/>
        </w:rPr>
        <w:t>XIULONG, YAN y otros s/Legajo de Apelación</w:t>
      </w:r>
      <w:r w:rsidR="00734716" w:rsidRPr="00002051">
        <w:rPr>
          <w:rFonts w:ascii="Arial" w:hAnsi="Arial" w:cs="Arial"/>
          <w:b/>
          <w:bCs/>
          <w:sz w:val="24"/>
          <w:szCs w:val="24"/>
        </w:rPr>
        <w:t xml:space="preserve">.  </w:t>
      </w:r>
      <w:bookmarkStart w:id="0" w:name="_Hlk162012487"/>
      <w:r w:rsidR="00D17C99">
        <w:rPr>
          <w:rFonts w:ascii="Arial" w:hAnsi="Arial" w:cs="Arial"/>
          <w:b/>
          <w:bCs/>
          <w:sz w:val="24"/>
          <w:szCs w:val="24"/>
        </w:rPr>
        <w:t>Cámara Federal de San Martín, Sala I, 19/12/2023</w:t>
      </w:r>
      <w:bookmarkEnd w:id="0"/>
    </w:p>
    <w:p w14:paraId="0582E533" w14:textId="177A5293" w:rsidR="00734716" w:rsidRDefault="00D17C99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17C99">
        <w:rPr>
          <w:rFonts w:ascii="Arial" w:hAnsi="Arial" w:cs="Arial"/>
          <w:sz w:val="24"/>
          <w:szCs w:val="24"/>
        </w:rPr>
        <w:t xml:space="preserve">Asociación ilícita fiscal. Acuerdo de voluntades de carácter permanente. Pluralidad de planes delictivos indeterminados. Distinción con el pacto o convergencia criminal de carácter transitorio, propio de la participación criminal </w:t>
      </w:r>
    </w:p>
    <w:p w14:paraId="6B5C8EA8" w14:textId="58D9AA0E" w:rsidR="00A03DF4" w:rsidRPr="000201CA" w:rsidRDefault="00A03DF4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315DD200" w14:textId="7D20902C" w:rsidR="00A03DF4" w:rsidRPr="00002051" w:rsidRDefault="005B7988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FALLO II - 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IMPUTADO: </w:t>
      </w:r>
      <w:r w:rsidR="0021552C" w:rsidRPr="0021552C">
        <w:rPr>
          <w:rFonts w:ascii="Arial" w:hAnsi="Arial" w:cs="Arial"/>
          <w:b/>
          <w:bCs/>
          <w:sz w:val="24"/>
          <w:szCs w:val="24"/>
        </w:rPr>
        <w:t>“HUIDOBRO, CARLOS ALBERTO S/ INFRACCION LEY 24.769”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. </w:t>
      </w:r>
      <w:r w:rsidR="0021552C" w:rsidRPr="0021552C">
        <w:rPr>
          <w:rFonts w:ascii="Arial" w:hAnsi="Arial" w:cs="Arial"/>
          <w:b/>
          <w:bCs/>
          <w:sz w:val="24"/>
          <w:szCs w:val="24"/>
        </w:rPr>
        <w:t xml:space="preserve">Cámara Federal de </w:t>
      </w:r>
      <w:r w:rsidR="0021552C">
        <w:rPr>
          <w:rFonts w:ascii="Arial" w:hAnsi="Arial" w:cs="Arial"/>
          <w:b/>
          <w:bCs/>
          <w:sz w:val="24"/>
          <w:szCs w:val="24"/>
        </w:rPr>
        <w:t>Apelaciones de Resistencia</w:t>
      </w:r>
      <w:r w:rsidR="0021552C" w:rsidRPr="0021552C">
        <w:rPr>
          <w:rFonts w:ascii="Arial" w:hAnsi="Arial" w:cs="Arial"/>
          <w:b/>
          <w:bCs/>
          <w:sz w:val="24"/>
          <w:szCs w:val="24"/>
        </w:rPr>
        <w:t>, S</w:t>
      </w:r>
      <w:r w:rsidR="0021552C">
        <w:rPr>
          <w:rFonts w:ascii="Arial" w:hAnsi="Arial" w:cs="Arial"/>
          <w:b/>
          <w:bCs/>
          <w:sz w:val="24"/>
          <w:szCs w:val="24"/>
        </w:rPr>
        <w:t>ec Penal 2</w:t>
      </w:r>
      <w:r w:rsidR="0021552C" w:rsidRPr="0021552C">
        <w:rPr>
          <w:rFonts w:ascii="Arial" w:hAnsi="Arial" w:cs="Arial"/>
          <w:b/>
          <w:bCs/>
          <w:sz w:val="24"/>
          <w:szCs w:val="24"/>
        </w:rPr>
        <w:t xml:space="preserve">, </w:t>
      </w:r>
      <w:r w:rsidR="0021552C">
        <w:rPr>
          <w:rFonts w:ascii="Arial" w:hAnsi="Arial" w:cs="Arial"/>
          <w:b/>
          <w:bCs/>
          <w:sz w:val="24"/>
          <w:szCs w:val="24"/>
        </w:rPr>
        <w:t>06/12/2023</w:t>
      </w:r>
      <w:r w:rsidRPr="00002051">
        <w:rPr>
          <w:rFonts w:ascii="Arial" w:hAnsi="Arial" w:cs="Arial"/>
          <w:b/>
          <w:bCs/>
          <w:sz w:val="24"/>
          <w:szCs w:val="24"/>
        </w:rPr>
        <w:t>.</w:t>
      </w:r>
    </w:p>
    <w:p w14:paraId="2C740237" w14:textId="7FD08948" w:rsidR="00800045" w:rsidRPr="000201CA" w:rsidRDefault="005B7988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 xml:space="preserve">Evasión </w:t>
      </w:r>
      <w:r w:rsidR="006919DC">
        <w:rPr>
          <w:rFonts w:ascii="Arial" w:hAnsi="Arial" w:cs="Arial"/>
          <w:sz w:val="24"/>
          <w:szCs w:val="24"/>
        </w:rPr>
        <w:t>simple</w:t>
      </w:r>
      <w:r w:rsidRPr="000201CA">
        <w:rPr>
          <w:rFonts w:ascii="Arial" w:hAnsi="Arial" w:cs="Arial"/>
          <w:sz w:val="24"/>
          <w:szCs w:val="24"/>
        </w:rPr>
        <w:t xml:space="preserve"> ganancias 2015</w:t>
      </w:r>
      <w:r w:rsidR="006919DC">
        <w:rPr>
          <w:rFonts w:ascii="Arial" w:hAnsi="Arial" w:cs="Arial"/>
          <w:sz w:val="24"/>
          <w:szCs w:val="24"/>
        </w:rPr>
        <w:t xml:space="preserve"> por decaimiento beneficios blanqueo ley 27.260</w:t>
      </w:r>
      <w:r w:rsidRPr="000201CA">
        <w:rPr>
          <w:rFonts w:ascii="Arial" w:hAnsi="Arial" w:cs="Arial"/>
          <w:sz w:val="24"/>
          <w:szCs w:val="24"/>
        </w:rPr>
        <w:t xml:space="preserve">. </w:t>
      </w:r>
      <w:r w:rsidR="006919DC">
        <w:rPr>
          <w:rFonts w:ascii="Arial" w:hAnsi="Arial" w:cs="Arial"/>
          <w:sz w:val="24"/>
          <w:szCs w:val="24"/>
        </w:rPr>
        <w:t>Depuración de hechos imponibles que integran una causa de lavado de activos en instancia de juicio oral. Aplicación de non bis in idem. Aplicación de LPMB. Acumulación a la causa más compleja y más avanzada para juzgamiento único Remisión al Tribunal Oral</w:t>
      </w:r>
      <w:r w:rsidRPr="000201CA">
        <w:rPr>
          <w:rFonts w:ascii="Arial" w:hAnsi="Arial" w:cs="Arial"/>
          <w:sz w:val="24"/>
          <w:szCs w:val="24"/>
        </w:rPr>
        <w:t>.</w:t>
      </w:r>
    </w:p>
    <w:p w14:paraId="1168BCA2" w14:textId="77777777" w:rsidR="00C33BB6" w:rsidRPr="000201CA" w:rsidRDefault="00C33BB6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09974F3" w14:textId="19D1F1D2" w:rsidR="005B7988" w:rsidRPr="00002051" w:rsidRDefault="00800045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 xml:space="preserve">FALLO III - </w:t>
      </w:r>
      <w:r w:rsidR="00695AD0" w:rsidRPr="00695AD0">
        <w:rPr>
          <w:rFonts w:ascii="Arial" w:hAnsi="Arial" w:cs="Arial"/>
          <w:b/>
          <w:bCs/>
          <w:sz w:val="24"/>
          <w:szCs w:val="24"/>
        </w:rPr>
        <w:t>“Aparicio, Julieta; López Espósito, Matías; y Edu Fran S.A. s/recurso de casación”</w:t>
      </w:r>
      <w:r w:rsidR="00695AD0" w:rsidRPr="00695AD0">
        <w:rPr>
          <w:rFonts w:ascii="Arial" w:hAnsi="Arial" w:cs="Arial"/>
          <w:b/>
          <w:bCs/>
          <w:sz w:val="24"/>
          <w:szCs w:val="24"/>
        </w:rPr>
        <w:t xml:space="preserve"> </w:t>
      </w:r>
      <w:r w:rsidR="00695AD0" w:rsidRPr="00695AD0">
        <w:rPr>
          <w:rFonts w:ascii="Arial" w:hAnsi="Arial" w:cs="Arial"/>
          <w:b/>
          <w:bCs/>
          <w:sz w:val="24"/>
          <w:szCs w:val="24"/>
        </w:rPr>
        <w:t>CPE 1327/2018/9/CFC3</w:t>
      </w:r>
      <w:r w:rsidR="00695AD0">
        <w:rPr>
          <w:rFonts w:ascii="Arial" w:hAnsi="Arial" w:cs="Arial"/>
          <w:b/>
          <w:bCs/>
          <w:sz w:val="24"/>
          <w:szCs w:val="24"/>
        </w:rPr>
        <w:t xml:space="preserve"> – CFCP – Sala IV</w:t>
      </w:r>
    </w:p>
    <w:p w14:paraId="1BF38D89" w14:textId="1ECE301C" w:rsidR="00695AD0" w:rsidRDefault="00695AD0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Apropiación indebida de recursos de la Seg</w:t>
      </w:r>
      <w:r w:rsidR="00AE34D0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Social</w:t>
      </w:r>
      <w:r w:rsidR="00AE34D0">
        <w:rPr>
          <w:rFonts w:ascii="Arial" w:hAnsi="Arial" w:cs="Arial"/>
          <w:sz w:val="24"/>
          <w:szCs w:val="24"/>
        </w:rPr>
        <w:t xml:space="preserve">. Acogimiento regularización ley 27.541. Falta de cancelación de aportes a las Obras sociales en 2 períodos. </w:t>
      </w:r>
      <w:r w:rsidR="009E21EF">
        <w:rPr>
          <w:rFonts w:ascii="Arial" w:hAnsi="Arial" w:cs="Arial"/>
          <w:sz w:val="24"/>
          <w:szCs w:val="24"/>
        </w:rPr>
        <w:t>No se admite la e</w:t>
      </w:r>
      <w:r w:rsidR="00AE34D0">
        <w:rPr>
          <w:rFonts w:ascii="Arial" w:hAnsi="Arial" w:cs="Arial"/>
          <w:sz w:val="24"/>
          <w:szCs w:val="24"/>
        </w:rPr>
        <w:t xml:space="preserve">scisión </w:t>
      </w:r>
      <w:r w:rsidR="009E21EF">
        <w:rPr>
          <w:rFonts w:ascii="Arial" w:hAnsi="Arial" w:cs="Arial"/>
          <w:sz w:val="24"/>
          <w:szCs w:val="24"/>
        </w:rPr>
        <w:t xml:space="preserve">conceptual </w:t>
      </w:r>
      <w:r w:rsidR="00AE34D0">
        <w:rPr>
          <w:rFonts w:ascii="Arial" w:hAnsi="Arial" w:cs="Arial"/>
          <w:sz w:val="24"/>
          <w:szCs w:val="24"/>
        </w:rPr>
        <w:t>de la CUSS – Seg Social y Obra Social - a los efectos extintivos de la ley 27.541</w:t>
      </w:r>
      <w:r w:rsidR="009E21EF">
        <w:rPr>
          <w:rFonts w:ascii="Arial" w:hAnsi="Arial" w:cs="Arial"/>
          <w:sz w:val="24"/>
          <w:szCs w:val="24"/>
        </w:rPr>
        <w:t xml:space="preserve"> (voto de la mayoría, Carbajo en disidencia)</w:t>
      </w:r>
      <w:r w:rsidR="00AE34D0">
        <w:rPr>
          <w:rFonts w:ascii="Arial" w:hAnsi="Arial" w:cs="Arial"/>
          <w:sz w:val="24"/>
          <w:szCs w:val="24"/>
        </w:rPr>
        <w:t xml:space="preserve">. </w:t>
      </w:r>
    </w:p>
    <w:p w14:paraId="5868B021" w14:textId="77777777" w:rsidR="00695AD0" w:rsidRDefault="00695AD0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9DE03EF" w14:textId="7F8367FC" w:rsidR="008D16CB" w:rsidRPr="00002051" w:rsidRDefault="008D16CB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</w:rPr>
        <w:t xml:space="preserve">FALLO IV </w:t>
      </w:r>
      <w:r w:rsidR="0037185B" w:rsidRPr="00002051">
        <w:rPr>
          <w:rFonts w:ascii="Arial" w:hAnsi="Arial" w:cs="Arial"/>
          <w:b/>
          <w:bCs/>
          <w:sz w:val="24"/>
          <w:szCs w:val="24"/>
        </w:rPr>
        <w:t>–</w:t>
      </w:r>
      <w:r w:rsidRPr="00002051">
        <w:rPr>
          <w:rFonts w:ascii="Arial" w:hAnsi="Arial" w:cs="Arial"/>
          <w:b/>
          <w:bCs/>
          <w:sz w:val="24"/>
          <w:szCs w:val="24"/>
        </w:rPr>
        <w:t xml:space="preserve"> </w:t>
      </w:r>
      <w:r w:rsidR="00823624" w:rsidRPr="00823624">
        <w:rPr>
          <w:rFonts w:ascii="Arial" w:hAnsi="Arial" w:cs="Arial"/>
          <w:b/>
          <w:bCs/>
          <w:sz w:val="24"/>
          <w:szCs w:val="24"/>
        </w:rPr>
        <w:t>“MINERA ARGENTINA GOLD S.A. y otros s/recurso de casación”</w:t>
      </w:r>
      <w:r w:rsidR="00823624" w:rsidRPr="00823624">
        <w:rPr>
          <w:rFonts w:ascii="Arial" w:hAnsi="Arial" w:cs="Arial"/>
          <w:b/>
          <w:bCs/>
          <w:sz w:val="24"/>
          <w:szCs w:val="24"/>
        </w:rPr>
        <w:t xml:space="preserve"> </w:t>
      </w:r>
      <w:r w:rsidR="00823624">
        <w:rPr>
          <w:rFonts w:ascii="Arial" w:hAnsi="Arial" w:cs="Arial"/>
          <w:b/>
          <w:bCs/>
          <w:sz w:val="24"/>
          <w:szCs w:val="24"/>
        </w:rPr>
        <w:t>-</w:t>
      </w:r>
      <w:r w:rsidR="00823624" w:rsidRPr="00823624">
        <w:t xml:space="preserve"> </w:t>
      </w:r>
      <w:r w:rsidR="00823624" w:rsidRPr="00823624">
        <w:rPr>
          <w:rFonts w:ascii="Arial" w:hAnsi="Arial" w:cs="Arial"/>
          <w:b/>
          <w:bCs/>
          <w:sz w:val="24"/>
          <w:szCs w:val="24"/>
        </w:rPr>
        <w:t>FMZ 44459/2018/14/CFC1</w:t>
      </w:r>
      <w:r w:rsidR="00823624">
        <w:rPr>
          <w:rFonts w:ascii="Arial" w:hAnsi="Arial" w:cs="Arial"/>
          <w:b/>
          <w:bCs/>
          <w:sz w:val="24"/>
          <w:szCs w:val="24"/>
        </w:rPr>
        <w:t xml:space="preserve"> – CFCP Sala III</w:t>
      </w:r>
    </w:p>
    <w:p w14:paraId="20EFF62E" w14:textId="66DC9B66" w:rsidR="0034059F" w:rsidRDefault="0034059F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Evasión agravada ganancias 2010 y 2011. Cómputo de aportes de capital de vinculadas como pasivos para deducir intereses y diferencias de cambio. Condiciones de préstamos diferentes a las de mercado.</w:t>
      </w:r>
      <w:r w:rsidR="0094225E">
        <w:rPr>
          <w:rFonts w:ascii="Arial" w:hAnsi="Arial" w:cs="Arial"/>
          <w:sz w:val="24"/>
          <w:szCs w:val="24"/>
        </w:rPr>
        <w:t xml:space="preserve"> Valoración de la pericia </w:t>
      </w:r>
      <w:r w:rsidR="0094225E">
        <w:rPr>
          <w:rFonts w:ascii="Arial" w:hAnsi="Arial" w:cs="Arial"/>
          <w:sz w:val="24"/>
          <w:szCs w:val="24"/>
        </w:rPr>
        <w:lastRenderedPageBreak/>
        <w:t>contable. Ausencia de delito. Agotamiento de la instrucción. Confirmación de sobreseimiento por mayoría.</w:t>
      </w:r>
    </w:p>
    <w:p w14:paraId="6B4F2402" w14:textId="77777777" w:rsidR="0034059F" w:rsidRDefault="0034059F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FC9C64" w14:textId="120BAC7C" w:rsidR="000732D0" w:rsidRPr="00002051" w:rsidRDefault="000732D0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  <w:lang w:val="es-ES"/>
        </w:rPr>
        <w:t>FALLO V -</w:t>
      </w:r>
      <w:r w:rsidR="00FF4C73" w:rsidRPr="00FF4C73">
        <w:t xml:space="preserve"> </w:t>
      </w:r>
      <w:r w:rsidR="00FF4C73" w:rsidRPr="00FF4C73">
        <w:rPr>
          <w:rFonts w:ascii="Arial" w:hAnsi="Arial" w:cs="Arial"/>
          <w:b/>
          <w:bCs/>
          <w:sz w:val="24"/>
          <w:szCs w:val="24"/>
        </w:rPr>
        <w:t>“C., P. H. S/ INFRACCIÓN LEY 24.769”, J.N.P.E. N° 9, SECRETARÍA N° 18. EXPEDIENTE Nº CPE 801/2019/CA1. ORDEN N° 31.365. SALA “B</w:t>
      </w:r>
    </w:p>
    <w:p w14:paraId="7333DF44" w14:textId="743A5206" w:rsidR="000732D0" w:rsidRDefault="000732D0" w:rsidP="00002051">
      <w:pPr>
        <w:spacing w:line="360" w:lineRule="auto"/>
        <w:jc w:val="both"/>
        <w:rPr>
          <w:rFonts w:ascii="Arial" w:hAnsi="Arial" w:cs="Arial"/>
          <w:sz w:val="24"/>
          <w:szCs w:val="24"/>
          <w:lang w:val="es-ES"/>
        </w:rPr>
      </w:pPr>
      <w:r w:rsidRPr="000201CA">
        <w:rPr>
          <w:rFonts w:ascii="Arial" w:hAnsi="Arial" w:cs="Arial"/>
          <w:sz w:val="24"/>
          <w:szCs w:val="24"/>
        </w:rPr>
        <w:t>Apropiación indebida</w:t>
      </w:r>
      <w:r w:rsidR="00E35B1C">
        <w:rPr>
          <w:rFonts w:ascii="Arial" w:hAnsi="Arial" w:cs="Arial"/>
          <w:sz w:val="24"/>
          <w:szCs w:val="24"/>
        </w:rPr>
        <w:t xml:space="preserve"> de tributos</w:t>
      </w:r>
      <w:r w:rsidRPr="000201CA">
        <w:rPr>
          <w:rFonts w:ascii="Arial" w:hAnsi="Arial" w:cs="Arial"/>
          <w:sz w:val="24"/>
          <w:szCs w:val="24"/>
        </w:rPr>
        <w:t xml:space="preserve">. </w:t>
      </w:r>
      <w:r w:rsidR="00E35B1C">
        <w:rPr>
          <w:rFonts w:ascii="Arial" w:hAnsi="Arial" w:cs="Arial"/>
          <w:sz w:val="24"/>
          <w:szCs w:val="24"/>
        </w:rPr>
        <w:t xml:space="preserve">Escribano. Cancelación espontánea de obligaciones. </w:t>
      </w:r>
      <w:r w:rsidR="00AA7DA6">
        <w:rPr>
          <w:rFonts w:ascii="Arial" w:hAnsi="Arial" w:cs="Arial"/>
          <w:sz w:val="24"/>
          <w:szCs w:val="24"/>
        </w:rPr>
        <w:t>Consideración de condición objetiva de punibilidad por cada tributo retenido. Confirmación del procesamiento.</w:t>
      </w:r>
      <w:r w:rsidRPr="000201CA">
        <w:rPr>
          <w:rFonts w:ascii="Arial" w:hAnsi="Arial" w:cs="Arial"/>
          <w:sz w:val="24"/>
          <w:szCs w:val="24"/>
        </w:rPr>
        <w:t xml:space="preserve"> </w:t>
      </w:r>
      <w:r w:rsidRPr="000201CA">
        <w:rPr>
          <w:rFonts w:ascii="Arial" w:hAnsi="Arial" w:cs="Arial"/>
          <w:sz w:val="24"/>
          <w:szCs w:val="24"/>
          <w:lang w:val="es-ES"/>
        </w:rPr>
        <w:t xml:space="preserve"> </w:t>
      </w:r>
    </w:p>
    <w:p w14:paraId="6747BAAD" w14:textId="77777777" w:rsidR="005942DD" w:rsidRDefault="005942DD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</w:p>
    <w:p w14:paraId="6ED9B701" w14:textId="540376D1" w:rsidR="00774DF2" w:rsidRPr="00002051" w:rsidRDefault="00774DF2" w:rsidP="00002051">
      <w:pPr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002051">
        <w:rPr>
          <w:rFonts w:ascii="Arial" w:hAnsi="Arial" w:cs="Arial"/>
          <w:b/>
          <w:bCs/>
          <w:sz w:val="24"/>
          <w:szCs w:val="24"/>
          <w:lang w:val="es-ES"/>
        </w:rPr>
        <w:t xml:space="preserve">FALLO VI - </w:t>
      </w:r>
      <w:r w:rsidR="00345750" w:rsidRPr="00345750">
        <w:rPr>
          <w:rFonts w:ascii="Arial" w:hAnsi="Arial" w:cs="Arial"/>
          <w:b/>
          <w:bCs/>
          <w:sz w:val="24"/>
          <w:szCs w:val="24"/>
        </w:rPr>
        <w:t>“SANTANDER RIO S.A y CRISTOFANI, José Luis Enrique s/ recurso de casación”.</w:t>
      </w:r>
      <w:r w:rsidR="00345750" w:rsidRPr="00345750">
        <w:t xml:space="preserve"> </w:t>
      </w:r>
      <w:r w:rsidR="00345750" w:rsidRPr="00345750">
        <w:rPr>
          <w:rFonts w:ascii="Arial" w:hAnsi="Arial" w:cs="Arial"/>
          <w:b/>
          <w:bCs/>
          <w:sz w:val="24"/>
          <w:szCs w:val="24"/>
        </w:rPr>
        <w:t>CPE 928/2019/4/CFC1</w:t>
      </w:r>
      <w:r w:rsidR="00345750">
        <w:rPr>
          <w:rFonts w:ascii="Arial" w:hAnsi="Arial" w:cs="Arial"/>
          <w:b/>
          <w:bCs/>
          <w:sz w:val="24"/>
          <w:szCs w:val="24"/>
        </w:rPr>
        <w:t xml:space="preserve">- CFCP Sala I </w:t>
      </w:r>
    </w:p>
    <w:p w14:paraId="38B79C89" w14:textId="687936E8" w:rsidR="00774DF2" w:rsidRPr="000201CA" w:rsidRDefault="002D24C2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Impuesto a los premios en sorteos</w:t>
      </w:r>
      <w:r w:rsidR="00AA4E5B" w:rsidRPr="000201CA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D51ABA">
        <w:rPr>
          <w:rFonts w:ascii="Arial" w:hAnsi="Arial" w:cs="Arial"/>
          <w:sz w:val="24"/>
          <w:szCs w:val="24"/>
        </w:rPr>
        <w:t xml:space="preserve">Cuestiones </w:t>
      </w:r>
      <w:r w:rsidR="00757C01">
        <w:rPr>
          <w:rFonts w:ascii="Arial" w:hAnsi="Arial" w:cs="Arial"/>
          <w:sz w:val="24"/>
          <w:szCs w:val="24"/>
        </w:rPr>
        <w:t xml:space="preserve">irrelevantes </w:t>
      </w:r>
      <w:r w:rsidR="00D51ABA">
        <w:rPr>
          <w:rFonts w:ascii="Arial" w:hAnsi="Arial" w:cs="Arial"/>
          <w:sz w:val="24"/>
          <w:szCs w:val="24"/>
        </w:rPr>
        <w:t xml:space="preserve">que no dependen del azar. </w:t>
      </w:r>
      <w:r w:rsidR="00A50A35">
        <w:rPr>
          <w:rFonts w:ascii="Arial" w:hAnsi="Arial" w:cs="Arial"/>
          <w:sz w:val="24"/>
          <w:szCs w:val="24"/>
        </w:rPr>
        <w:t>Ausencia de c</w:t>
      </w:r>
      <w:r w:rsidR="00D51ABA">
        <w:rPr>
          <w:rFonts w:ascii="Arial" w:hAnsi="Arial" w:cs="Arial"/>
          <w:sz w:val="24"/>
          <w:szCs w:val="24"/>
        </w:rPr>
        <w:t>onfiguración del hecho imponible.</w:t>
      </w:r>
      <w:r w:rsidR="00A50A35">
        <w:rPr>
          <w:rFonts w:ascii="Arial" w:hAnsi="Arial" w:cs="Arial"/>
          <w:sz w:val="24"/>
          <w:szCs w:val="24"/>
        </w:rPr>
        <w:t xml:space="preserve"> Atipicidad. Confirmación por mayoría del sobreseimiento.</w:t>
      </w:r>
    </w:p>
    <w:p w14:paraId="069500A6" w14:textId="77777777" w:rsidR="003403A5" w:rsidRPr="000201CA" w:rsidRDefault="003403A5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BAB7E87" w14:textId="28B0FE29" w:rsidR="00F649C6" w:rsidRPr="000201CA" w:rsidRDefault="00F649C6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201CA">
        <w:rPr>
          <w:rFonts w:ascii="Arial" w:hAnsi="Arial" w:cs="Arial"/>
          <w:sz w:val="24"/>
          <w:szCs w:val="24"/>
        </w:rPr>
        <w:t>DOCTRINA</w:t>
      </w:r>
    </w:p>
    <w:p w14:paraId="68B2621A" w14:textId="2D19FABA" w:rsidR="008E7D5B" w:rsidRDefault="008E7D5B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8E7D5B">
        <w:rPr>
          <w:rFonts w:ascii="Arial" w:hAnsi="Arial" w:cs="Arial"/>
          <w:sz w:val="24"/>
          <w:szCs w:val="24"/>
        </w:rPr>
        <w:t>¿INSOLVENCIA FISCAL COMO ARDID DE LA EVASIÓN?</w:t>
      </w:r>
      <w:r>
        <w:rPr>
          <w:rFonts w:ascii="Arial" w:hAnsi="Arial" w:cs="Arial"/>
          <w:sz w:val="24"/>
          <w:szCs w:val="24"/>
        </w:rPr>
        <w:t xml:space="preserve"> Pablo Emlek. Temas Derecho penal y procesal penal. 02/2024</w:t>
      </w:r>
    </w:p>
    <w:p w14:paraId="20FB8F84" w14:textId="77777777" w:rsidR="00BB75DD" w:rsidRDefault="00076D26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076D26">
        <w:rPr>
          <w:rFonts w:ascii="Arial" w:hAnsi="Arial" w:cs="Arial"/>
          <w:sz w:val="24"/>
          <w:szCs w:val="24"/>
        </w:rPr>
        <w:t>TARDA EN LLEGAR, Y AL FINAL HAY RECOMPENSA</w:t>
      </w:r>
      <w:r>
        <w:rPr>
          <w:rFonts w:ascii="Arial" w:hAnsi="Arial" w:cs="Arial"/>
          <w:sz w:val="24"/>
          <w:szCs w:val="24"/>
        </w:rPr>
        <w:t xml:space="preserve">. </w:t>
      </w:r>
      <w:r w:rsidRPr="00076D26">
        <w:rPr>
          <w:rFonts w:ascii="Arial" w:hAnsi="Arial" w:cs="Arial"/>
          <w:sz w:val="24"/>
          <w:szCs w:val="24"/>
        </w:rPr>
        <w:t>COMENTARIO A LA RESOLUCIÓN (PGN) 92/2023</w:t>
      </w:r>
      <w:r>
        <w:rPr>
          <w:rFonts w:ascii="Arial" w:hAnsi="Arial" w:cs="Arial"/>
          <w:sz w:val="24"/>
          <w:szCs w:val="24"/>
        </w:rPr>
        <w:t>. Juan Waissman. Doctrina Penal Tributaria y Económica. 01/2024</w:t>
      </w:r>
    </w:p>
    <w:p w14:paraId="7409737F" w14:textId="65C7B335" w:rsidR="008E7D5B" w:rsidRDefault="00BB75DD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LEY 9510 MENDOZA. </w:t>
      </w:r>
      <w:r w:rsidRPr="00BB75DD">
        <w:rPr>
          <w:rFonts w:ascii="Arial" w:hAnsi="Arial" w:cs="Arial"/>
          <w:sz w:val="24"/>
          <w:szCs w:val="24"/>
        </w:rPr>
        <w:t>Código Procesal Penal: se incorpora la figura del Agente encubierto digital, y se regula el Secuestro, Apertura y Análisis de Sistema Informático e Incautación de Datos</w:t>
      </w:r>
      <w:r>
        <w:rPr>
          <w:rFonts w:ascii="Arial" w:hAnsi="Arial" w:cs="Arial"/>
          <w:sz w:val="24"/>
          <w:szCs w:val="24"/>
        </w:rPr>
        <w:t>.</w:t>
      </w:r>
      <w:r w:rsidR="00076D26">
        <w:rPr>
          <w:rFonts w:ascii="Arial" w:hAnsi="Arial" w:cs="Arial"/>
          <w:sz w:val="24"/>
          <w:szCs w:val="24"/>
        </w:rPr>
        <w:t xml:space="preserve"> </w:t>
      </w:r>
    </w:p>
    <w:p w14:paraId="409E967A" w14:textId="77777777" w:rsidR="00076D26" w:rsidRDefault="00076D26" w:rsidP="0000205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076D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2701A"/>
    <w:multiLevelType w:val="hybridMultilevel"/>
    <w:tmpl w:val="A5E8455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FE71FB"/>
    <w:multiLevelType w:val="hybridMultilevel"/>
    <w:tmpl w:val="B062228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282598"/>
    <w:multiLevelType w:val="hybridMultilevel"/>
    <w:tmpl w:val="FF52A2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04F01"/>
    <w:multiLevelType w:val="hybridMultilevel"/>
    <w:tmpl w:val="09E4B52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082D05"/>
    <w:multiLevelType w:val="hybridMultilevel"/>
    <w:tmpl w:val="0FC07BD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486EDA"/>
    <w:multiLevelType w:val="hybridMultilevel"/>
    <w:tmpl w:val="D044583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451695"/>
    <w:multiLevelType w:val="hybridMultilevel"/>
    <w:tmpl w:val="C12ADF5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4"/>
  </w:num>
  <w:num w:numId="5">
    <w:abstractNumId w:val="5"/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C9"/>
    <w:rsid w:val="00002051"/>
    <w:rsid w:val="000201CA"/>
    <w:rsid w:val="00044246"/>
    <w:rsid w:val="000732D0"/>
    <w:rsid w:val="00076D26"/>
    <w:rsid w:val="001701EE"/>
    <w:rsid w:val="001C4BA2"/>
    <w:rsid w:val="001E365B"/>
    <w:rsid w:val="001E581C"/>
    <w:rsid w:val="002014DD"/>
    <w:rsid w:val="00211705"/>
    <w:rsid w:val="0021552C"/>
    <w:rsid w:val="00287438"/>
    <w:rsid w:val="002D24C2"/>
    <w:rsid w:val="003403A5"/>
    <w:rsid w:val="0034059F"/>
    <w:rsid w:val="00345750"/>
    <w:rsid w:val="003470C9"/>
    <w:rsid w:val="0037185B"/>
    <w:rsid w:val="003C57CA"/>
    <w:rsid w:val="00426C75"/>
    <w:rsid w:val="00504480"/>
    <w:rsid w:val="005457DA"/>
    <w:rsid w:val="00556F69"/>
    <w:rsid w:val="005942DD"/>
    <w:rsid w:val="005B7029"/>
    <w:rsid w:val="005B7988"/>
    <w:rsid w:val="005C35AF"/>
    <w:rsid w:val="006919DC"/>
    <w:rsid w:val="00695AD0"/>
    <w:rsid w:val="006A7333"/>
    <w:rsid w:val="006B558E"/>
    <w:rsid w:val="006C2076"/>
    <w:rsid w:val="00734716"/>
    <w:rsid w:val="00746549"/>
    <w:rsid w:val="00757C01"/>
    <w:rsid w:val="00774DF2"/>
    <w:rsid w:val="00777750"/>
    <w:rsid w:val="00800045"/>
    <w:rsid w:val="00823624"/>
    <w:rsid w:val="00861869"/>
    <w:rsid w:val="00885FB4"/>
    <w:rsid w:val="008D16CB"/>
    <w:rsid w:val="008E7D5B"/>
    <w:rsid w:val="0094225E"/>
    <w:rsid w:val="00973141"/>
    <w:rsid w:val="009B078D"/>
    <w:rsid w:val="009D7C62"/>
    <w:rsid w:val="009E21EF"/>
    <w:rsid w:val="00A03DF4"/>
    <w:rsid w:val="00A50A35"/>
    <w:rsid w:val="00A712F1"/>
    <w:rsid w:val="00AA4E5B"/>
    <w:rsid w:val="00AA7DA6"/>
    <w:rsid w:val="00AE34D0"/>
    <w:rsid w:val="00B12192"/>
    <w:rsid w:val="00B519A5"/>
    <w:rsid w:val="00B823DD"/>
    <w:rsid w:val="00BB75DD"/>
    <w:rsid w:val="00C33BB6"/>
    <w:rsid w:val="00CB307A"/>
    <w:rsid w:val="00D17C99"/>
    <w:rsid w:val="00D40B0A"/>
    <w:rsid w:val="00D51ABA"/>
    <w:rsid w:val="00DC0AEE"/>
    <w:rsid w:val="00E35B1C"/>
    <w:rsid w:val="00ED7F24"/>
    <w:rsid w:val="00F017DD"/>
    <w:rsid w:val="00F05281"/>
    <w:rsid w:val="00F649C6"/>
    <w:rsid w:val="00FE178E"/>
    <w:rsid w:val="00FF4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2F59F5"/>
  <w15:chartTrackingRefBased/>
  <w15:docId w15:val="{BC5CB2AB-F756-4C0D-836E-37296579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02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2</Pages>
  <Words>436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Rosenberg</dc:creator>
  <cp:keywords/>
  <dc:description/>
  <cp:lastModifiedBy>Eric Rosenberg</cp:lastModifiedBy>
  <cp:revision>19</cp:revision>
  <dcterms:created xsi:type="dcterms:W3CDTF">2024-03-22T17:31:00Z</dcterms:created>
  <dcterms:modified xsi:type="dcterms:W3CDTF">2024-03-22T20:21:00Z</dcterms:modified>
</cp:coreProperties>
</file>